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4A55574F"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8D4FD2">
        <w:rPr>
          <w:rFonts w:asciiTheme="minorHAnsi" w:hAnsiTheme="minorHAnsi" w:cstheme="minorHAnsi"/>
          <w:color w:val="auto"/>
          <w:sz w:val="22"/>
          <w:lang w:eastAsia="ar-SA"/>
        </w:rPr>
        <w:t>16</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w:t>
      </w:r>
      <w:r w:rsidR="008D4FD2">
        <w:rPr>
          <w:rFonts w:asciiTheme="minorHAnsi" w:hAnsiTheme="minorHAnsi" w:cstheme="minorHAnsi"/>
          <w:color w:val="auto"/>
          <w:sz w:val="22"/>
          <w:lang w:eastAsia="ar-SA"/>
        </w:rPr>
        <w:t>2</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7B32B884"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A253AD">
        <w:rPr>
          <w:rFonts w:asciiTheme="minorHAnsi" w:hAnsiTheme="minorHAnsi" w:cstheme="minorHAnsi"/>
          <w:b/>
          <w:color w:val="auto"/>
          <w:sz w:val="22"/>
        </w:rPr>
        <w:t>nabiał</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671068D4"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824BC2">
        <w:rPr>
          <w:rFonts w:asciiTheme="minorHAnsi" w:hAnsiTheme="minorHAnsi" w:cstheme="minorHAnsi"/>
          <w:b/>
          <w:color w:val="auto"/>
          <w:sz w:val="22"/>
        </w:rPr>
        <w:t>01</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24515D">
        <w:rPr>
          <w:rFonts w:asciiTheme="minorHAnsi" w:hAnsiTheme="minorHAnsi" w:cstheme="minorHAnsi"/>
          <w:b/>
          <w:color w:val="auto"/>
          <w:sz w:val="22"/>
        </w:rPr>
        <w:t>28.0</w:t>
      </w:r>
      <w:r w:rsidR="003F292E">
        <w:rPr>
          <w:rFonts w:asciiTheme="minorHAnsi" w:hAnsiTheme="minorHAnsi" w:cstheme="minorHAnsi"/>
          <w:b/>
          <w:color w:val="auto"/>
          <w:sz w:val="22"/>
        </w:rPr>
        <w:t>2</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2A17688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EF0DC1">
        <w:rPr>
          <w:rFonts w:asciiTheme="minorHAnsi" w:hAnsiTheme="minorHAnsi" w:cstheme="minorHAnsi"/>
          <w:b/>
          <w:color w:val="auto"/>
          <w:sz w:val="22"/>
        </w:rPr>
        <w:t>12</w:t>
      </w:r>
      <w:r w:rsidRPr="00033E34">
        <w:rPr>
          <w:rFonts w:asciiTheme="minorHAnsi" w:hAnsiTheme="minorHAnsi" w:cstheme="minorHAnsi"/>
          <w:b/>
          <w:color w:val="auto"/>
          <w:sz w:val="22"/>
        </w:rPr>
        <w:t>.</w:t>
      </w:r>
      <w:r w:rsidR="00EF0DC1">
        <w:rPr>
          <w:rFonts w:asciiTheme="minorHAnsi" w:hAnsiTheme="minorHAnsi" w:cstheme="minorHAnsi"/>
          <w:b/>
          <w:color w:val="auto"/>
          <w:sz w:val="22"/>
        </w:rPr>
        <w:t>01</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2B24FBE8"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0948CF">
        <w:rPr>
          <w:rFonts w:asciiTheme="minorHAnsi" w:hAnsiTheme="minorHAnsi" w:cstheme="minorHAnsi"/>
          <w:b/>
          <w:color w:val="auto"/>
          <w:sz w:val="22"/>
        </w:rPr>
        <w:t>29</w:t>
      </w:r>
      <w:r w:rsidRPr="003E4E4A">
        <w:rPr>
          <w:rFonts w:asciiTheme="minorHAnsi" w:hAnsiTheme="minorHAnsi" w:cstheme="minorHAnsi"/>
          <w:b/>
          <w:color w:val="auto"/>
          <w:sz w:val="22"/>
        </w:rPr>
        <w:t>.</w:t>
      </w:r>
      <w:r w:rsidR="00BF4767">
        <w:rPr>
          <w:rFonts w:asciiTheme="minorHAnsi" w:hAnsiTheme="minorHAnsi" w:cstheme="minorHAnsi"/>
          <w:b/>
          <w:color w:val="auto"/>
          <w:sz w:val="22"/>
        </w:rPr>
        <w:t>1</w:t>
      </w:r>
      <w:r w:rsidR="000948CF">
        <w:rPr>
          <w:rFonts w:asciiTheme="minorHAnsi" w:hAnsiTheme="minorHAnsi" w:cstheme="minorHAnsi"/>
          <w:b/>
          <w:color w:val="auto"/>
          <w:sz w:val="22"/>
        </w:rPr>
        <w:t>2</w:t>
      </w:r>
      <w:r w:rsidRPr="003E4E4A">
        <w:rPr>
          <w:rFonts w:asciiTheme="minorHAnsi" w:hAnsiTheme="minorHAnsi" w:cstheme="minorHAnsi"/>
          <w:b/>
          <w:color w:val="auto"/>
          <w:sz w:val="22"/>
        </w:rPr>
        <w:t>.202</w:t>
      </w:r>
      <w:r w:rsidR="006A53AC">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1E3BF327"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w:t>
      </w:r>
      <w:r w:rsidR="006A53AC">
        <w:rPr>
          <w:rFonts w:asciiTheme="minorHAnsi" w:hAnsiTheme="minorHAnsi" w:cstheme="minorHAnsi"/>
          <w:b/>
          <w:color w:val="auto"/>
          <w:sz w:val="22"/>
        </w:rPr>
        <w:t>2</w:t>
      </w:r>
      <w:r w:rsidRPr="003E4E4A">
        <w:rPr>
          <w:rFonts w:asciiTheme="minorHAnsi" w:hAnsiTheme="minorHAnsi" w:cstheme="minorHAnsi"/>
          <w:b/>
          <w:color w:val="auto"/>
          <w:sz w:val="22"/>
        </w:rPr>
        <w:t>.202</w:t>
      </w:r>
      <w:r w:rsidR="006A53AC">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w:t>
      </w:r>
      <w:r w:rsidR="00362976">
        <w:rPr>
          <w:rFonts w:asciiTheme="minorHAnsi" w:hAnsiTheme="minorHAnsi" w:cstheme="minorHAnsi"/>
          <w:b/>
          <w:color w:val="auto"/>
          <w:sz w:val="22"/>
        </w:rPr>
        <w:t>09</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5D98"/>
    <w:rsid w:val="00897ADE"/>
    <w:rsid w:val="008A0C90"/>
    <w:rsid w:val="008C0F23"/>
    <w:rsid w:val="008D4FD2"/>
    <w:rsid w:val="008D690C"/>
    <w:rsid w:val="00903435"/>
    <w:rsid w:val="009165D9"/>
    <w:rsid w:val="00922F83"/>
    <w:rsid w:val="009548F6"/>
    <w:rsid w:val="00955DE8"/>
    <w:rsid w:val="0095761A"/>
    <w:rsid w:val="00961A6D"/>
    <w:rsid w:val="00966E0D"/>
    <w:rsid w:val="00967195"/>
    <w:rsid w:val="009834A4"/>
    <w:rsid w:val="009C050B"/>
    <w:rsid w:val="009C2487"/>
    <w:rsid w:val="009C31C2"/>
    <w:rsid w:val="009D7B99"/>
    <w:rsid w:val="009E4701"/>
    <w:rsid w:val="009E4F3E"/>
    <w:rsid w:val="009E7B53"/>
    <w:rsid w:val="00A035B2"/>
    <w:rsid w:val="00A11444"/>
    <w:rsid w:val="00A15840"/>
    <w:rsid w:val="00A253AD"/>
    <w:rsid w:val="00A3329E"/>
    <w:rsid w:val="00A357C0"/>
    <w:rsid w:val="00A575DF"/>
    <w:rsid w:val="00AA4A2C"/>
    <w:rsid w:val="00AD0810"/>
    <w:rsid w:val="00AF1C3B"/>
    <w:rsid w:val="00B14E97"/>
    <w:rsid w:val="00B206AE"/>
    <w:rsid w:val="00B26045"/>
    <w:rsid w:val="00B35F4B"/>
    <w:rsid w:val="00B439D7"/>
    <w:rsid w:val="00B51CB5"/>
    <w:rsid w:val="00B62578"/>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510F"/>
    <w:rsid w:val="00C766E0"/>
    <w:rsid w:val="00C87D3E"/>
    <w:rsid w:val="00CA73D5"/>
    <w:rsid w:val="00CD5264"/>
    <w:rsid w:val="00CE5C4D"/>
    <w:rsid w:val="00CF7FE6"/>
    <w:rsid w:val="00D15691"/>
    <w:rsid w:val="00D17E8E"/>
    <w:rsid w:val="00D318DC"/>
    <w:rsid w:val="00D460BB"/>
    <w:rsid w:val="00D4656C"/>
    <w:rsid w:val="00D74095"/>
    <w:rsid w:val="00DA2D9C"/>
    <w:rsid w:val="00DB63FF"/>
    <w:rsid w:val="00DB6464"/>
    <w:rsid w:val="00DC5A94"/>
    <w:rsid w:val="00DF6B94"/>
    <w:rsid w:val="00E272C6"/>
    <w:rsid w:val="00E33998"/>
    <w:rsid w:val="00E41AEF"/>
    <w:rsid w:val="00E54836"/>
    <w:rsid w:val="00E707DC"/>
    <w:rsid w:val="00E91BFC"/>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4535</Words>
  <Characters>27216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51</cp:revision>
  <dcterms:created xsi:type="dcterms:W3CDTF">2024-10-24T09:49:00Z</dcterms:created>
  <dcterms:modified xsi:type="dcterms:W3CDTF">2024-12-16T09:23:00Z</dcterms:modified>
</cp:coreProperties>
</file>